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Ind w:w="-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3"/>
        <w:gridCol w:w="43"/>
        <w:gridCol w:w="888"/>
        <w:gridCol w:w="344"/>
        <w:gridCol w:w="967"/>
        <w:gridCol w:w="88"/>
        <w:gridCol w:w="444"/>
        <w:gridCol w:w="566"/>
        <w:gridCol w:w="234"/>
        <w:gridCol w:w="189"/>
        <w:gridCol w:w="145"/>
        <w:gridCol w:w="1275"/>
      </w:tblGrid>
      <w:tr w:rsidR="004522EB" w:rsidRPr="004522EB">
        <w:tc>
          <w:tcPr>
            <w:tcW w:w="18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vAlign w:val="center"/>
          </w:tcPr>
          <w:p w:rsidR="008055AA" w:rsidRPr="004522EB" w:rsidRDefault="00940EDE">
            <w:pPr>
              <w:widowControl w:val="0"/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left w:w="108" w:type="dxa"/>
              <w:right w:w="108" w:type="dxa"/>
            </w:tcMar>
            <w:vAlign w:val="center"/>
          </w:tcPr>
          <w:p w:rsidR="008055AA" w:rsidRPr="004522EB" w:rsidRDefault="00940EDE">
            <w:pPr>
              <w:widowControl w:val="0"/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4522E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>TURISTIČKA GEOGRAFIJA</w:t>
            </w:r>
          </w:p>
        </w:tc>
      </w:tr>
      <w:tr w:rsidR="004522EB" w:rsidRPr="004522EB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4522E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522EB" w:rsidRDefault="00940EDE" w:rsidP="00440893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t>E</w:t>
            </w:r>
            <w:r w:rsidR="00440893" w:rsidRPr="004522EB">
              <w:rPr>
                <w:color w:val="000000" w:themeColor="text1"/>
              </w:rPr>
              <w:t>CTA01</w:t>
            </w:r>
          </w:p>
        </w:tc>
        <w:tc>
          <w:tcPr>
            <w:tcW w:w="2287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Antonio </w:t>
            </w:r>
            <w:proofErr w:type="spellStart"/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Vrbatović</w:t>
            </w:r>
            <w:proofErr w:type="spellEnd"/>
          </w:p>
        </w:tc>
        <w:tc>
          <w:tcPr>
            <w:tcW w:w="2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4522EB" w:rsidRPr="004522EB">
        <w:trPr>
          <w:trHeight w:val="345"/>
        </w:trPr>
        <w:tc>
          <w:tcPr>
            <w:tcW w:w="1911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522EB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4522EB" w:rsidRPr="004522EB">
        <w:trPr>
          <w:trHeight w:val="34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522EB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522EB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055AA" w:rsidRPr="004522EB" w:rsidRDefault="008055AA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7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522EB" w:rsidRDefault="003A6FDD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</w:tr>
      <w:tr w:rsidR="004522EB" w:rsidRPr="004522EB">
        <w:tc>
          <w:tcPr>
            <w:tcW w:w="9554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t>Ciljevi predmeta su stjecanje znanja i sposobnosti neophodnih za razumijevanje geografske dimenzije turizma na međunarodnoj i nacionalnoj razini. Studenti će ovladati materijom koju će moći primijeniti u svom budućem obrazovanju i praktičnom radu u turizmu.</w:t>
            </w: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Sukladno Statutu Ekonomskog fakulteta sveučilišta u Splitu</w:t>
            </w: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Očekivani ishodi učenja na razini predmeta (4-10 ishoda učenja)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Polaznik će:</w:t>
            </w:r>
          </w:p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Times New Roman" w:eastAsia="MS Mincho" w:hAnsi="Times New Roman"/>
                <w:color w:val="000000" w:themeColor="text1"/>
                <w:kern w:val="2"/>
                <w:sz w:val="24"/>
                <w:szCs w:val="24"/>
                <w:lang w:eastAsia="hr-HR"/>
              </w:rPr>
              <w:t>Analizirati geografski prostor kao osnovni preduvjet oblikovanja turističkog prostora i razvoja turizma.</w:t>
            </w:r>
          </w:p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Razlikovati kriterije turističke regionalizacije na nacionalnoj, regionalnoj i svjetskoj razini.</w:t>
            </w:r>
          </w:p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Definirati i opisati posebnosti turističkih destinacija svijeta.</w:t>
            </w:r>
          </w:p>
          <w:p w:rsidR="008055AA" w:rsidRPr="004522EB" w:rsidRDefault="00940E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</w:pPr>
            <w:r w:rsidRPr="004522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Usporediti utjecaje pojedinih vrsta i oblika turizma na razvoj prostornih struktura.</w:t>
            </w:r>
          </w:p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Identificirati ključne turističke atrakcije u međunarodnom i globalnom kontekstu.</w:t>
            </w: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52801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Sadržaj predmeta detaljno razrađen prema satnici nastave</w:t>
            </w:r>
          </w:p>
          <w:p w:rsidR="00C52801" w:rsidRPr="004522EB" w:rsidRDefault="00C52801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52801" w:rsidRPr="004522EB" w:rsidRDefault="00C52801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52801" w:rsidRPr="004522EB" w:rsidRDefault="00C52801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52801" w:rsidRPr="004522EB" w:rsidRDefault="00C52801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52801" w:rsidRPr="004522EB" w:rsidRDefault="00C52801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52801" w:rsidRPr="004522EB" w:rsidRDefault="00C52801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52801" w:rsidRPr="004522EB" w:rsidRDefault="00C52801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52801" w:rsidRPr="004522EB" w:rsidRDefault="00C52801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52801" w:rsidRPr="004522EB" w:rsidRDefault="00C52801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055AA" w:rsidRPr="004522EB" w:rsidRDefault="008055AA" w:rsidP="00C5280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tbl>
            <w:tblPr>
              <w:tblW w:w="6287" w:type="dxa"/>
              <w:tblLayout w:type="fixed"/>
              <w:tblLook w:val="01E0" w:firstRow="1" w:lastRow="1" w:firstColumn="1" w:lastColumn="1" w:noHBand="0" w:noVBand="0"/>
            </w:tblPr>
            <w:tblGrid>
              <w:gridCol w:w="3027"/>
              <w:gridCol w:w="3260"/>
            </w:tblGrid>
            <w:tr w:rsidR="004522EB" w:rsidRPr="004522EB" w:rsidTr="003A6FDD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055AA" w:rsidRPr="004522EB" w:rsidRDefault="00940EDE">
                  <w:pPr>
                    <w:widowControl w:val="0"/>
                    <w:spacing w:before="40" w:after="4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260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055AA" w:rsidRPr="004522EB" w:rsidRDefault="00940EDE">
                  <w:pPr>
                    <w:widowControl w:val="0"/>
                    <w:spacing w:before="40" w:after="4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4522EB" w:rsidRPr="004522EB" w:rsidTr="003A6FDD">
              <w:trPr>
                <w:cantSplit/>
                <w:trHeight w:val="600"/>
              </w:trPr>
              <w:tc>
                <w:tcPr>
                  <w:tcW w:w="302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A6FDD" w:rsidRPr="004522EB" w:rsidRDefault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Međunarodni turizam; Faktori turizma; Turističko-geografska regionalizacija svijeta</w:t>
                  </w:r>
                </w:p>
                <w:p w:rsidR="003A6FDD" w:rsidRPr="004522EB" w:rsidRDefault="003A6FDD" w:rsidP="00DB435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8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  <w:p w:rsidR="003A6FDD" w:rsidRPr="004522EB" w:rsidRDefault="003A6FDD" w:rsidP="003D0144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22EB" w:rsidRPr="004522EB" w:rsidTr="003A6FDD">
              <w:trPr>
                <w:cantSplit/>
                <w:trHeight w:val="600"/>
              </w:trPr>
              <w:tc>
                <w:tcPr>
                  <w:tcW w:w="302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color w:val="000000" w:themeColor="text1"/>
                    </w:rPr>
                  </w:pPr>
                  <w:r w:rsidRPr="004522EB">
                    <w:rPr>
                      <w:color w:val="000000" w:themeColor="text1"/>
                    </w:rPr>
                    <w:t xml:space="preserve">Turizam </w:t>
                  </w:r>
                  <w:proofErr w:type="spellStart"/>
                  <w:r w:rsidRPr="004522EB">
                    <w:rPr>
                      <w:color w:val="000000" w:themeColor="text1"/>
                    </w:rPr>
                    <w:t>Angloamerike</w:t>
                  </w:r>
                  <w:proofErr w:type="spellEnd"/>
                </w:p>
              </w:tc>
              <w:tc>
                <w:tcPr>
                  <w:tcW w:w="3260" w:type="dxa"/>
                  <w:tcBorders>
                    <w:top w:val="single" w:sz="8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22EB" w:rsidRPr="004522EB" w:rsidTr="003A6FDD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Latinske Amerike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22EB" w:rsidRPr="004522EB" w:rsidTr="003A6FDD">
              <w:trPr>
                <w:cantSplit/>
                <w:trHeight w:val="478"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Australije s Oceanijom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522EB" w:rsidRPr="004522EB" w:rsidTr="003A6FDD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 xml:space="preserve">Turizam Afrike južno od Sahare i </w:t>
                  </w:r>
                  <w:proofErr w:type="spellStart"/>
                  <w:r w:rsidRPr="004522EB">
                    <w:rPr>
                      <w:color w:val="000000" w:themeColor="text1"/>
                    </w:rPr>
                    <w:t>Orijenta</w:t>
                  </w:r>
                  <w:proofErr w:type="spellEnd"/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22EB" w:rsidRPr="004522EB" w:rsidTr="003A6FDD">
              <w:trPr>
                <w:cantSplit/>
                <w:trHeight w:val="309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color w:val="000000" w:themeColor="text1"/>
                    </w:rPr>
                  </w:pPr>
                  <w:r w:rsidRPr="004522EB">
                    <w:rPr>
                      <w:color w:val="000000" w:themeColor="text1"/>
                    </w:rPr>
                    <w:t>Turizam Indijskoga potk</w:t>
                  </w:r>
                  <w:bookmarkStart w:id="0" w:name="_GoBack"/>
                  <w:bookmarkEnd w:id="0"/>
                  <w:r w:rsidRPr="004522EB">
                    <w:rPr>
                      <w:color w:val="000000" w:themeColor="text1"/>
                    </w:rPr>
                    <w:t>ontinenta i Pacifičke Azije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  <w:r w:rsidR="00956951" w:rsidRPr="004522EB">
                    <w:rPr>
                      <w:color w:val="000000" w:themeColor="text1"/>
                    </w:rPr>
                    <w:t xml:space="preserve"> po potrebi online</w:t>
                  </w: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22EB" w:rsidRPr="004522EB" w:rsidTr="00EF7A4F">
              <w:trPr>
                <w:cantSplit/>
                <w:trHeight w:val="999"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lastRenderedPageBreak/>
                    <w:t>Turizam Europe: Pirinejski poluotok</w:t>
                  </w:r>
                </w:p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Europe: Francuska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kviz</w:t>
                  </w: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Europe: Italija i istočno Sredozemlje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Europe: alpske zemlje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Europe: zapadna Europa</w:t>
                  </w:r>
                </w:p>
              </w:tc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522EB" w:rsidRPr="004522EB" w:rsidTr="003A6FDD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522EB" w:rsidRPr="004522EB" w:rsidTr="003A6FDD">
              <w:trPr>
                <w:cantSplit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Europe: srednja Europa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522EB" w:rsidRPr="004522EB" w:rsidTr="003A6FDD">
              <w:trPr>
                <w:cantSplit/>
                <w:trHeight w:val="490"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Europe: istočna i sjeverna Europa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</w:p>
              </w:tc>
            </w:tr>
            <w:tr w:rsidR="004522EB" w:rsidRPr="004522EB" w:rsidTr="00AD4433">
              <w:trPr>
                <w:cantSplit/>
                <w:trHeight w:val="1194"/>
              </w:trPr>
              <w:tc>
                <w:tcPr>
                  <w:tcW w:w="3027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primorskoga dijela Hrvatske</w:t>
                  </w:r>
                </w:p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Turizam kontinentalnoga dijela Hrvatske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18" w:space="0" w:color="000000"/>
                    <w:right w:val="single" w:sz="4" w:space="0" w:color="000000"/>
                  </w:tcBorders>
                  <w:vAlign w:val="center"/>
                </w:tcPr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522EB">
                    <w:rPr>
                      <w:color w:val="000000" w:themeColor="text1"/>
                    </w:rPr>
                    <w:t>Rad na slijepoj karti</w:t>
                  </w:r>
                  <w:r w:rsidR="00956951" w:rsidRPr="004522EB">
                    <w:rPr>
                      <w:color w:val="000000" w:themeColor="text1"/>
                    </w:rPr>
                    <w:t xml:space="preserve"> po potrebi online</w:t>
                  </w:r>
                </w:p>
                <w:p w:rsidR="003A6FDD" w:rsidRPr="004522EB" w:rsidRDefault="003A6FDD" w:rsidP="003A6FDD">
                  <w:pPr>
                    <w:widowControl w:val="0"/>
                    <w:spacing w:before="40" w:after="4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rPr>
          <w:trHeight w:val="349"/>
        </w:trPr>
        <w:tc>
          <w:tcPr>
            <w:tcW w:w="1911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</w:t>
            </w:r>
          </w:p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522EB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8055AA" w:rsidRPr="004522EB" w:rsidRDefault="00956951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☑</w:t>
            </w:r>
            <w:r w:rsidR="00940EDE"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25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</w:t>
            </w:r>
          </w:p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</w:t>
            </w:r>
          </w:p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522E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gostovanja iz prakse</w:t>
            </w:r>
          </w:p>
        </w:tc>
      </w:tr>
      <w:tr w:rsidR="004522EB" w:rsidRPr="004522EB">
        <w:trPr>
          <w:trHeight w:val="57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8055AA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25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8055AA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t>Pohađanje nastave predavanja i vježbi u iznosu od 70%.</w:t>
            </w:r>
          </w:p>
        </w:tc>
      </w:tr>
      <w:tr w:rsidR="004522EB" w:rsidRPr="004522EB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522E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3A6FDD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0,75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522EB" w:rsidRPr="004522EB">
        <w:trPr>
          <w:trHeight w:val="39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522EB" w:rsidRDefault="008055AA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522EB" w:rsidRPr="004522EB">
        <w:trPr>
          <w:trHeight w:val="39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3A6FDD" w:rsidP="003A6FDD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4522EB">
              <w:rPr>
                <w:color w:val="000000" w:themeColor="text1"/>
              </w:rPr>
              <w:t>kviz</w:t>
            </w:r>
            <w:proofErr w:type="spellEnd"/>
            <w:r w:rsidR="00940EDE"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522EB" w:rsidRDefault="003A6FDD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color w:val="000000" w:themeColor="text1"/>
              </w:rPr>
              <w:t>0,25</w:t>
            </w:r>
          </w:p>
        </w:tc>
      </w:tr>
      <w:tr w:rsidR="004522EB" w:rsidRPr="004522EB">
        <w:trPr>
          <w:trHeight w:val="39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pStyle w:val="FieldText"/>
              <w:widowControl w:val="0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522E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522EB" w:rsidRPr="004522EB">
        <w:trPr>
          <w:trHeight w:val="397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color w:val="000000" w:themeColor="text1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se vodi evidencija o nazočnosti na nastavi i aktivnom sudjelovanju  kroz diskusije i pitanja. </w:t>
            </w:r>
            <w:r w:rsidR="003A6FDD"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će biti organiziran jedan online kviz. </w:t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semestra bit će organizirana dva kolokvija. Uvjet za pristupanje drugom kolokviju je pozitivno ocijenjen prvi kolokvij.  Položenim se smatra kolokvij  s najmanje 60% ostvarenih bodova. Student koji ostvari pozitivnu ocjenu iz prvog i drugog kolokvija, oslobađa se polaganja ispita.</w:t>
            </w:r>
          </w:p>
          <w:p w:rsidR="008055AA" w:rsidRPr="004522EB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 (%):</w:t>
            </w:r>
          </w:p>
          <w:p w:rsidR="008055AA" w:rsidRPr="004522EB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nedovoljan (1)</w:t>
            </w:r>
          </w:p>
          <w:p w:rsidR="008055AA" w:rsidRPr="004522EB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60-69    dovoljan (2)</w:t>
            </w:r>
          </w:p>
          <w:p w:rsidR="008055AA" w:rsidRPr="004522EB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:rsidR="008055AA" w:rsidRPr="004522EB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:rsidR="008055AA" w:rsidRPr="004522EB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8055AA" w:rsidRPr="004522EB" w:rsidRDefault="00940EDE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Ukupna ocjena formira se srednjom ocjenom oba položena kolokvija ili položenim ispitom sukladno navedenim pragovima bodovanja.</w:t>
            </w:r>
          </w:p>
          <w:p w:rsidR="008055AA" w:rsidRPr="004522EB" w:rsidRDefault="008055AA">
            <w:pPr>
              <w:widowControl w:val="0"/>
              <w:tabs>
                <w:tab w:val="left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055AA" w:rsidRPr="004522EB" w:rsidRDefault="008055A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c>
          <w:tcPr>
            <w:tcW w:w="191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C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vAlign w:val="center"/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522EB" w:rsidRPr="004522EB">
        <w:trPr>
          <w:trHeight w:val="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t>Curić, Z., Glamuzina, N., Opačić, V. T. (2013.), Geografija turizma – regionalni pregled, Naklada Ljevak, Zagreb</w:t>
            </w:r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</w:p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t>Sveučilišna knjižnica, Gradska knjižnica, knjižnica Ekonomskog fakulteta</w:t>
            </w:r>
          </w:p>
        </w:tc>
      </w:tr>
      <w:tr w:rsidR="004522EB" w:rsidRPr="004522EB">
        <w:trPr>
          <w:trHeight w:val="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t>Blažević, I., Turistička geografija Hrvatske, Pedagoški fakultet u Puli, 1995.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t>Sveučilišna knjižnica, Gradska knjižnica</w:t>
            </w:r>
          </w:p>
        </w:tc>
      </w:tr>
      <w:tr w:rsidR="004522EB" w:rsidRPr="004522EB">
        <w:trPr>
          <w:trHeight w:val="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rPr>
          <w:trHeight w:val="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rPr>
          <w:trHeight w:val="1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rPr>
          <w:trHeight w:val="1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rPr>
          <w:trHeight w:val="175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rPr>
          <w:trHeight w:val="70"/>
        </w:trPr>
        <w:tc>
          <w:tcPr>
            <w:tcW w:w="1911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8055AA">
            <w:pPr>
              <w:widowControl w:val="0"/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8055AA" w:rsidRPr="004522EB" w:rsidRDefault="008055AA">
            <w:pPr>
              <w:widowControl w:val="0"/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rPr>
          <w:trHeight w:val="1246"/>
        </w:trPr>
        <w:tc>
          <w:tcPr>
            <w:tcW w:w="191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Dopunska literatura</w:t>
            </w:r>
          </w:p>
          <w:p w:rsidR="008055AA" w:rsidRPr="004522EB" w:rsidRDefault="008055AA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643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033785" w:rsidRPr="004522EB" w:rsidRDefault="00940EDE">
            <w:pPr>
              <w:widowControl w:val="0"/>
              <w:spacing w:after="0" w:line="240" w:lineRule="auto"/>
              <w:rPr>
                <w:color w:val="000000" w:themeColor="text1"/>
              </w:rPr>
            </w:pPr>
            <w:proofErr w:type="spellStart"/>
            <w:r w:rsidRPr="004522EB">
              <w:rPr>
                <w:color w:val="000000" w:themeColor="text1"/>
              </w:rPr>
              <w:t>Boniface</w:t>
            </w:r>
            <w:proofErr w:type="spellEnd"/>
            <w:r w:rsidRPr="004522EB">
              <w:rPr>
                <w:color w:val="000000" w:themeColor="text1"/>
              </w:rPr>
              <w:t xml:space="preserve">, B. – </w:t>
            </w:r>
            <w:proofErr w:type="spellStart"/>
            <w:r w:rsidRPr="004522EB">
              <w:rPr>
                <w:color w:val="000000" w:themeColor="text1"/>
              </w:rPr>
              <w:t>Cooper</w:t>
            </w:r>
            <w:proofErr w:type="spellEnd"/>
            <w:r w:rsidRPr="004522EB">
              <w:rPr>
                <w:color w:val="000000" w:themeColor="text1"/>
              </w:rPr>
              <w:t xml:space="preserve">, C. (2001.), </w:t>
            </w:r>
            <w:proofErr w:type="spellStart"/>
            <w:r w:rsidRPr="004522EB">
              <w:rPr>
                <w:color w:val="000000" w:themeColor="text1"/>
              </w:rPr>
              <w:t>Worlwide</w:t>
            </w:r>
            <w:proofErr w:type="spellEnd"/>
            <w:r w:rsidRPr="004522EB">
              <w:rPr>
                <w:color w:val="000000" w:themeColor="text1"/>
              </w:rPr>
              <w:t xml:space="preserve"> </w:t>
            </w:r>
            <w:proofErr w:type="spellStart"/>
            <w:r w:rsidRPr="004522EB">
              <w:rPr>
                <w:color w:val="000000" w:themeColor="text1"/>
              </w:rPr>
              <w:t>destinations</w:t>
            </w:r>
            <w:proofErr w:type="spellEnd"/>
            <w:r w:rsidRPr="004522EB">
              <w:rPr>
                <w:color w:val="000000" w:themeColor="text1"/>
              </w:rPr>
              <w:t xml:space="preserve"> – </w:t>
            </w:r>
            <w:proofErr w:type="spellStart"/>
            <w:r w:rsidRPr="004522EB">
              <w:rPr>
                <w:color w:val="000000" w:themeColor="text1"/>
              </w:rPr>
              <w:t>the</w:t>
            </w:r>
            <w:proofErr w:type="spellEnd"/>
            <w:r w:rsidRPr="004522EB">
              <w:rPr>
                <w:color w:val="000000" w:themeColor="text1"/>
              </w:rPr>
              <w:t xml:space="preserve"> </w:t>
            </w:r>
            <w:proofErr w:type="spellStart"/>
            <w:r w:rsidRPr="004522EB">
              <w:rPr>
                <w:color w:val="000000" w:themeColor="text1"/>
              </w:rPr>
              <w:t>geography</w:t>
            </w:r>
            <w:proofErr w:type="spellEnd"/>
            <w:r w:rsidRPr="004522EB">
              <w:rPr>
                <w:color w:val="000000" w:themeColor="text1"/>
              </w:rPr>
              <w:t xml:space="preserve"> </w:t>
            </w:r>
            <w:proofErr w:type="spellStart"/>
            <w:r w:rsidRPr="004522EB">
              <w:rPr>
                <w:color w:val="000000" w:themeColor="text1"/>
              </w:rPr>
              <w:t>of</w:t>
            </w:r>
            <w:proofErr w:type="spellEnd"/>
            <w:r w:rsidRPr="004522EB">
              <w:rPr>
                <w:color w:val="000000" w:themeColor="text1"/>
              </w:rPr>
              <w:t xml:space="preserve"> </w:t>
            </w:r>
            <w:proofErr w:type="spellStart"/>
            <w:r w:rsidRPr="004522EB">
              <w:rPr>
                <w:color w:val="000000" w:themeColor="text1"/>
              </w:rPr>
              <w:t>travel</w:t>
            </w:r>
            <w:proofErr w:type="spellEnd"/>
            <w:r w:rsidRPr="004522EB">
              <w:rPr>
                <w:color w:val="000000" w:themeColor="text1"/>
              </w:rPr>
              <w:t xml:space="preserve"> </w:t>
            </w:r>
            <w:proofErr w:type="spellStart"/>
            <w:r w:rsidRPr="004522EB">
              <w:rPr>
                <w:color w:val="000000" w:themeColor="text1"/>
              </w:rPr>
              <w:t>and</w:t>
            </w:r>
            <w:proofErr w:type="spellEnd"/>
            <w:r w:rsidRPr="004522EB">
              <w:rPr>
                <w:color w:val="000000" w:themeColor="text1"/>
              </w:rPr>
              <w:t xml:space="preserve"> </w:t>
            </w:r>
            <w:proofErr w:type="spellStart"/>
            <w:r w:rsidRPr="004522EB">
              <w:rPr>
                <w:color w:val="000000" w:themeColor="text1"/>
              </w:rPr>
              <w:t>tourism</w:t>
            </w:r>
            <w:proofErr w:type="spellEnd"/>
            <w:r w:rsidRPr="004522EB">
              <w:rPr>
                <w:color w:val="000000" w:themeColor="text1"/>
              </w:rPr>
              <w:t xml:space="preserve">, </w:t>
            </w:r>
            <w:proofErr w:type="spellStart"/>
            <w:r w:rsidRPr="004522EB">
              <w:rPr>
                <w:color w:val="000000" w:themeColor="text1"/>
              </w:rPr>
              <w:t>Butterworth</w:t>
            </w:r>
            <w:proofErr w:type="spellEnd"/>
            <w:r w:rsidRPr="004522EB">
              <w:rPr>
                <w:color w:val="000000" w:themeColor="text1"/>
              </w:rPr>
              <w:t xml:space="preserve"> – </w:t>
            </w:r>
            <w:proofErr w:type="spellStart"/>
            <w:r w:rsidRPr="004522EB">
              <w:rPr>
                <w:color w:val="000000" w:themeColor="text1"/>
              </w:rPr>
              <w:t>Heinemann</w:t>
            </w:r>
            <w:proofErr w:type="spellEnd"/>
            <w:r w:rsidRPr="004522EB">
              <w:rPr>
                <w:color w:val="000000" w:themeColor="text1"/>
              </w:rPr>
              <w:t xml:space="preserve">, </w:t>
            </w:r>
            <w:proofErr w:type="spellStart"/>
            <w:r w:rsidRPr="004522EB">
              <w:rPr>
                <w:color w:val="000000" w:themeColor="text1"/>
              </w:rPr>
              <w:t>Oxford</w:t>
            </w:r>
            <w:proofErr w:type="spellEnd"/>
            <w:r w:rsidRPr="004522EB">
              <w:rPr>
                <w:color w:val="000000" w:themeColor="text1"/>
              </w:rPr>
              <w:t xml:space="preserve"> </w:t>
            </w:r>
            <w:r w:rsidR="00033785" w:rsidRPr="004522EB">
              <w:rPr>
                <w:color w:val="000000" w:themeColor="text1"/>
              </w:rPr>
              <w:t>- dostupno na internetu</w:t>
            </w:r>
          </w:p>
          <w:p w:rsidR="008055AA" w:rsidRPr="004522EB" w:rsidRDefault="00940EDE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4522EB">
              <w:rPr>
                <w:color w:val="000000" w:themeColor="text1"/>
              </w:rPr>
              <w:t>Lew</w:t>
            </w:r>
            <w:proofErr w:type="spellEnd"/>
            <w:r w:rsidRPr="004522EB">
              <w:rPr>
                <w:color w:val="000000" w:themeColor="text1"/>
              </w:rPr>
              <w:t>, A. A. – Hall, C. M. – Williams, A. M. (</w:t>
            </w:r>
            <w:proofErr w:type="spellStart"/>
            <w:r w:rsidRPr="004522EB">
              <w:rPr>
                <w:color w:val="000000" w:themeColor="text1"/>
              </w:rPr>
              <w:t>eds</w:t>
            </w:r>
            <w:proofErr w:type="spellEnd"/>
            <w:r w:rsidRPr="004522EB">
              <w:rPr>
                <w:color w:val="000000" w:themeColor="text1"/>
              </w:rPr>
              <w:t xml:space="preserve">.) (2004.), A </w:t>
            </w:r>
            <w:proofErr w:type="spellStart"/>
            <w:r w:rsidRPr="004522EB">
              <w:rPr>
                <w:color w:val="000000" w:themeColor="text1"/>
              </w:rPr>
              <w:t>companion</w:t>
            </w:r>
            <w:proofErr w:type="spellEnd"/>
            <w:r w:rsidRPr="004522EB">
              <w:rPr>
                <w:color w:val="000000" w:themeColor="text1"/>
              </w:rPr>
              <w:t xml:space="preserve"> to </w:t>
            </w:r>
            <w:proofErr w:type="spellStart"/>
            <w:r w:rsidRPr="004522EB">
              <w:rPr>
                <w:color w:val="000000" w:themeColor="text1"/>
              </w:rPr>
              <w:t>tourism</w:t>
            </w:r>
            <w:proofErr w:type="spellEnd"/>
            <w:r w:rsidRPr="004522EB">
              <w:rPr>
                <w:color w:val="000000" w:themeColor="text1"/>
              </w:rPr>
              <w:t xml:space="preserve">, </w:t>
            </w:r>
            <w:proofErr w:type="spellStart"/>
            <w:r w:rsidRPr="004522EB">
              <w:rPr>
                <w:color w:val="000000" w:themeColor="text1"/>
              </w:rPr>
              <w:t>Blackwell</w:t>
            </w:r>
            <w:proofErr w:type="spellEnd"/>
            <w:r w:rsidRPr="004522EB">
              <w:rPr>
                <w:color w:val="000000" w:themeColor="text1"/>
              </w:rPr>
              <w:t xml:space="preserve"> </w:t>
            </w:r>
            <w:proofErr w:type="spellStart"/>
            <w:r w:rsidRPr="004522EB">
              <w:rPr>
                <w:color w:val="000000" w:themeColor="text1"/>
              </w:rPr>
              <w:t>Publishing</w:t>
            </w:r>
            <w:proofErr w:type="spellEnd"/>
            <w:r w:rsidRPr="004522EB">
              <w:rPr>
                <w:color w:val="000000" w:themeColor="text1"/>
              </w:rPr>
              <w:t xml:space="preserve">, </w:t>
            </w:r>
            <w:proofErr w:type="spellStart"/>
            <w:r w:rsidRPr="004522EB">
              <w:rPr>
                <w:color w:val="000000" w:themeColor="text1"/>
              </w:rPr>
              <w:t>Oxford</w:t>
            </w:r>
            <w:proofErr w:type="spellEnd"/>
            <w:r w:rsidR="00033785" w:rsidRPr="004522EB">
              <w:rPr>
                <w:color w:val="000000" w:themeColor="text1"/>
              </w:rPr>
              <w:t xml:space="preserve"> -</w:t>
            </w:r>
            <w:r w:rsidR="003A6FDD" w:rsidRPr="004522EB">
              <w:rPr>
                <w:color w:val="000000" w:themeColor="text1"/>
              </w:rPr>
              <w:t xml:space="preserve"> dostupno na internetu</w:t>
            </w: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A6FDD" w:rsidRPr="004522EB" w:rsidRDefault="003A6FDD" w:rsidP="003A6FDD">
            <w:pPr>
              <w:widowControl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Individualne konzultacije, </w:t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pohađanje nastave, aktivnost na nastavi, uspješnost u obavljanju zadataka, </w:t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razgovor u svezi unaprjeđenja kvalitete razine usvojenog znanja.</w:t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Studentska anketa o kvaliteti nastave i nastavnika na sveučilišnoj razini. Položen ispit i ostvarene druge </w:t>
            </w:r>
            <w:proofErr w:type="spellStart"/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silabusom</w:t>
            </w:r>
            <w:proofErr w:type="spellEnd"/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propisane obveze</w:t>
            </w:r>
          </w:p>
          <w:p w:rsidR="008055AA" w:rsidRPr="004522EB" w:rsidRDefault="008055AA" w:rsidP="004522EB">
            <w:pPr>
              <w:widowControl w:val="0"/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4522EB" w:rsidRPr="004522EB">
        <w:tc>
          <w:tcPr>
            <w:tcW w:w="19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8055AA" w:rsidRPr="004522EB" w:rsidRDefault="00940EDE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8055AA" w:rsidRPr="004522EB" w:rsidRDefault="00940EDE">
            <w:pPr>
              <w:widowControl w:val="0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22EB">
              <w:rPr>
                <w:color w:val="000000" w:themeColor="text1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instrText>FORMTEXT</w:instrTex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separate"/>
            </w:r>
            <w:r w:rsidRPr="004522EB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Pr="004522EB">
              <w:rPr>
                <w:rFonts w:ascii="Arial" w:hAnsi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8055AA" w:rsidRPr="004522EB" w:rsidRDefault="008055AA">
      <w:pPr>
        <w:rPr>
          <w:color w:val="000000" w:themeColor="text1"/>
        </w:rPr>
      </w:pPr>
    </w:p>
    <w:sectPr w:rsidR="008055AA" w:rsidRPr="004522EB">
      <w:footerReference w:type="default" r:id="rId8"/>
      <w:pgSz w:w="11906" w:h="16838"/>
      <w:pgMar w:top="1417" w:right="1417" w:bottom="1417" w:left="1417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4AB" w:rsidRDefault="00C234AB">
      <w:pPr>
        <w:spacing w:after="0" w:line="240" w:lineRule="auto"/>
      </w:pPr>
      <w:r>
        <w:separator/>
      </w:r>
    </w:p>
  </w:endnote>
  <w:endnote w:type="continuationSeparator" w:id="0">
    <w:p w:rsidR="00C234AB" w:rsidRDefault="00C23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0F4" w:rsidRPr="000770F4" w:rsidRDefault="000770F4" w:rsidP="000770F4">
    <w:pPr>
      <w:tabs>
        <w:tab w:val="left" w:pos="1207"/>
        <w:tab w:val="center" w:pos="4536"/>
        <w:tab w:val="right" w:pos="9072"/>
      </w:tabs>
      <w:suppressAutoHyphens w:val="0"/>
      <w:spacing w:after="0" w:line="240" w:lineRule="auto"/>
      <w:rPr>
        <w:rFonts w:ascii="Calibri" w:eastAsia="Calibri" w:hAnsi="Calibri"/>
      </w:rPr>
    </w:pPr>
    <w:r w:rsidRPr="000770F4">
      <w:rPr>
        <w:rFonts w:ascii="Calibri" w:eastAsia="Calibri" w:hAnsi="Calibri"/>
      </w:rPr>
      <w:t>2021./2022.</w:t>
    </w:r>
  </w:p>
  <w:p w:rsidR="004522EB" w:rsidRPr="000770F4" w:rsidRDefault="000770F4" w:rsidP="000770F4">
    <w:pPr>
      <w:tabs>
        <w:tab w:val="left" w:pos="1207"/>
        <w:tab w:val="center" w:pos="4536"/>
        <w:tab w:val="right" w:pos="9072"/>
      </w:tabs>
      <w:suppressAutoHyphens w:val="0"/>
      <w:spacing w:after="0" w:line="240" w:lineRule="auto"/>
      <w:rPr>
        <w:rFonts w:ascii="Calibri" w:eastAsia="Calibri" w:hAnsi="Calibri"/>
      </w:rPr>
    </w:pPr>
    <w:r w:rsidRPr="000770F4">
      <w:rPr>
        <w:rFonts w:ascii="Calibri" w:eastAsia="Calibri" w:hAnsi="Calibri"/>
      </w:rPr>
      <w:t xml:space="preserve">19/10/21 – 2. </w:t>
    </w:r>
    <w:proofErr w:type="spellStart"/>
    <w:r w:rsidRPr="000770F4">
      <w:rPr>
        <w:rFonts w:ascii="Calibri" w:eastAsia="Calibri" w:hAnsi="Calibri"/>
      </w:rPr>
      <w:t>Sj</w:t>
    </w:r>
    <w:proofErr w:type="spellEnd"/>
    <w:r w:rsidRPr="000770F4">
      <w:rPr>
        <w:rFonts w:ascii="Calibri" w:eastAsia="Calibri" w:hAnsi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4AB" w:rsidRDefault="00C234AB">
      <w:pPr>
        <w:spacing w:after="0" w:line="240" w:lineRule="auto"/>
      </w:pPr>
      <w:r>
        <w:separator/>
      </w:r>
    </w:p>
  </w:footnote>
  <w:footnote w:type="continuationSeparator" w:id="0">
    <w:p w:rsidR="00C234AB" w:rsidRDefault="00C23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A6605"/>
    <w:multiLevelType w:val="multilevel"/>
    <w:tmpl w:val="1BC01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F31036"/>
    <w:multiLevelType w:val="multilevel"/>
    <w:tmpl w:val="3E08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FEE5E42"/>
    <w:multiLevelType w:val="multilevel"/>
    <w:tmpl w:val="887CA5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D0F6EC9"/>
    <w:multiLevelType w:val="multilevel"/>
    <w:tmpl w:val="B4A493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jQwMjAzt7AwtTBW0lEKTi0uzszPAykwrAUAQAi3PSwAAAA="/>
  </w:docVars>
  <w:rsids>
    <w:rsidRoot w:val="008055AA"/>
    <w:rsid w:val="00033785"/>
    <w:rsid w:val="000770F4"/>
    <w:rsid w:val="002451BA"/>
    <w:rsid w:val="002F1153"/>
    <w:rsid w:val="003A6FDD"/>
    <w:rsid w:val="00440893"/>
    <w:rsid w:val="004522EB"/>
    <w:rsid w:val="006A5C3B"/>
    <w:rsid w:val="008055AA"/>
    <w:rsid w:val="00840FB4"/>
    <w:rsid w:val="008D53F8"/>
    <w:rsid w:val="00934F16"/>
    <w:rsid w:val="00940EDE"/>
    <w:rsid w:val="00956951"/>
    <w:rsid w:val="00A324D2"/>
    <w:rsid w:val="00B33CF9"/>
    <w:rsid w:val="00C234AB"/>
    <w:rsid w:val="00C5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B4C19"/>
  <w15:docId w15:val="{73ADE5C0-B9EC-489C-97DC-5D856F05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9E0"/>
    <w:pPr>
      <w:spacing w:after="200" w:line="276" w:lineRule="auto"/>
    </w:pPr>
    <w:rPr>
      <w:rFonts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8049E0"/>
    <w:rPr>
      <w:rFonts w:cs="Times New Roman"/>
      <w:b/>
      <w:bCs/>
    </w:rPr>
  </w:style>
  <w:style w:type="character" w:customStyle="1" w:styleId="Internetskapoveznica">
    <w:name w:val="Internetska poveznica"/>
    <w:basedOn w:val="Zadanifontodlomka"/>
    <w:uiPriority w:val="99"/>
    <w:unhideWhenUsed/>
    <w:rsid w:val="00D237B7"/>
    <w:rPr>
      <w:color w:val="0000FF" w:themeColor="hyperlink"/>
      <w:u w:val="single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A43A5F"/>
    <w:rPr>
      <w:rFonts w:ascii="Calibri" w:eastAsia="Calibri" w:hAnsi="Calibri" w:cs="Times New Roman"/>
      <w:sz w:val="20"/>
      <w:szCs w:val="20"/>
    </w:rPr>
  </w:style>
  <w:style w:type="character" w:customStyle="1" w:styleId="Sidrofusnote">
    <w:name w:val="Sidro fusnote"/>
    <w:rPr>
      <w:vertAlign w:val="superscript"/>
    </w:rPr>
  </w:style>
  <w:style w:type="character" w:customStyle="1" w:styleId="FootnoteCharacters">
    <w:name w:val="Footnote Characters"/>
    <w:basedOn w:val="Zadanifontodlomka"/>
    <w:uiPriority w:val="99"/>
    <w:semiHidden/>
    <w:unhideWhenUsed/>
    <w:qFormat/>
    <w:rsid w:val="00A43A5F"/>
    <w:rPr>
      <w:vertAlign w:val="superscript"/>
    </w:rPr>
  </w:style>
  <w:style w:type="character" w:customStyle="1" w:styleId="ZaglavljeChar">
    <w:name w:val="Zaglavlje Char"/>
    <w:basedOn w:val="Zadanifontodlomka"/>
    <w:link w:val="Zaglavlje"/>
    <w:uiPriority w:val="99"/>
    <w:qFormat/>
    <w:rsid w:val="00296D4A"/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296D4A"/>
    <w:rPr>
      <w:rFonts w:ascii="Calibri" w:eastAsia="Calibri" w:hAnsi="Calibri" w:cs="Times New Roman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customStyle="1" w:styleId="FieldText">
    <w:name w:val="Field Text"/>
    <w:basedOn w:val="Normal"/>
    <w:qFormat/>
    <w:rsid w:val="008049E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paragraph" w:styleId="Odlomakpopisa">
    <w:name w:val="List Paragraph"/>
    <w:basedOn w:val="Normal"/>
    <w:uiPriority w:val="34"/>
    <w:qFormat/>
    <w:rsid w:val="00D46789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A43A5F"/>
    <w:pPr>
      <w:spacing w:after="0" w:line="240" w:lineRule="auto"/>
    </w:pPr>
    <w:rPr>
      <w:sz w:val="20"/>
      <w:szCs w:val="20"/>
    </w:rPr>
  </w:style>
  <w:style w:type="paragraph" w:customStyle="1" w:styleId="Zaglavljeipodnoje">
    <w:name w:val="Zaglavlje i podnožje"/>
    <w:basedOn w:val="Normal"/>
    <w:qFormat/>
  </w:style>
  <w:style w:type="paragraph" w:styleId="Zaglavlje">
    <w:name w:val="header"/>
    <w:basedOn w:val="Normal"/>
    <w:link w:val="ZaglavljeChar"/>
    <w:uiPriority w:val="99"/>
    <w:unhideWhenUsed/>
    <w:rsid w:val="00296D4A"/>
    <w:pPr>
      <w:tabs>
        <w:tab w:val="center" w:pos="4513"/>
        <w:tab w:val="right" w:pos="9026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296D4A"/>
    <w:pPr>
      <w:tabs>
        <w:tab w:val="center" w:pos="4513"/>
        <w:tab w:val="right" w:pos="9026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34DE3-3628-4F08-BC71-441AD8278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2017-10-05T16:01:00Z</cp:lastPrinted>
  <dcterms:created xsi:type="dcterms:W3CDTF">2021-10-11T08:58:00Z</dcterms:created>
  <dcterms:modified xsi:type="dcterms:W3CDTF">2021-10-14T14:01:00Z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